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9.5202636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Instituto Superior de Formación Docente y Técnica Nº 46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28220</wp:posOffset>
            </wp:positionV>
            <wp:extent cx="950595" cy="865860"/>
            <wp:effectExtent b="0" l="0" r="0" t="0"/>
            <wp:wrapSquare wrapText="righ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865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95.72021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“2 de abril de 1982”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3.23974609375" w:line="240" w:lineRule="auto"/>
        <w:ind w:left="0" w:right="2542.12036132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Sede: Av. Pueyrredón 1250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41.52038574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Sub-sede: Medrano 90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1.999855041503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Provincia de Buenos Aires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460.720214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Ramos Mejía., La Matanza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1.680030822753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Dirección de Cultura y Educación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14.9200439453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Te:+54 011 4658-6285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6.6800308227539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Dirección de Educación Superior Docente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08.140144348144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Inicial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-----------------------------------------------------------------------------------------------------------------------------------------------------------------------------------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40185546875" w:line="229.07501220703125" w:lineRule="auto"/>
        <w:ind w:left="0" w:right="5039.00024414062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CARRERA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Tecnicatura Superior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Psicopedagogía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40185546875" w:line="229.07501220703125" w:lineRule="auto"/>
        <w:ind w:left="0" w:right="5039.000244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CURSO Y COMISIÓN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PRIMER AÑO A,B,</w:t>
      </w:r>
      <w:r w:rsidDel="00000000" w:rsidR="00000000" w:rsidRPr="00000000">
        <w:rPr>
          <w:sz w:val="24"/>
          <w:szCs w:val="24"/>
          <w:rtl w:val="0"/>
        </w:rPr>
        <w:t xml:space="preserve">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940185546875" w:line="229.07501220703125" w:lineRule="auto"/>
        <w:ind w:left="0" w:right="5039.000244140625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47265625" w:line="233.74028205871582" w:lineRule="auto"/>
        <w:ind w:left="8.8800048828125" w:right="-411.85039370078584" w:firstLine="1.199989318847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PERSPECTIVA/ESPACIO CURRICULAR/MATERIA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47265625" w:line="233.74028205871582" w:lineRule="auto"/>
        <w:ind w:left="8.8800048828125" w:right="-411.85039370078584" w:firstLine="1.199989318847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PRÁCTICA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PROFESIONALIZANTE  I - Inserción al campo Psicopedagógico.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47265625" w:line="233.74028205871582" w:lineRule="auto"/>
        <w:ind w:left="8.8800048828125" w:right="5049.0008544921875" w:firstLine="1.199989318847656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47265625" w:line="233.74028205871582" w:lineRule="auto"/>
        <w:ind w:left="8.8800048828125" w:right="5049.0008544921875" w:firstLine="1.1999893188476562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DOCENTE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: Prof. Ranieri, Valeria Alejandra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47265625" w:line="233.74028205871582" w:lineRule="auto"/>
        <w:ind w:left="8.8800048828125" w:right="5049.0008544921875" w:firstLine="1.1999893188476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Prof. Albornoz Silvia Susana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8447265625" w:line="233.74028205871582" w:lineRule="auto"/>
        <w:ind w:left="8.8800048828125" w:right="5049.0008544921875" w:firstLine="1.1999893188476562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177978515625" w:line="240" w:lineRule="auto"/>
        <w:ind w:left="7.919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HORAS DE CLASES SEMANALES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TRES)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720458984375" w:line="240" w:lineRule="auto"/>
        <w:ind w:left="7.6800155639648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EXPECTATIVAS DE LOGRO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1"/>
        <w:pageBreakBefore w:val="0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Que los alumnos/as puedan: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Observar  posibles intervenciones psicopedagógicas profesionales, desde abordajes institucionales, interdisciplinarios y transversales, en diversos servicios de educación formal y de salud.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Conocer y ejercitar diferentes herramientas y técnicas de observación y escucha que le permitan la recolección y análisis de datos.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Construir conocimiento  acerca del quehacer psicopedagógico profesional en diversos ámbitos de inserción laboral (educación, salud y comunitario) a través de entrevistas a psicopedagogos/as.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Analizar e interpretar conceptos nodales y normativos actuales que constituyen  marco teórico y  encuadre a la práctica psicopedagógica profesional.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Desarrollar competencias académicas que permitan la realización de observaciones interesantes y enriquecedoras para su experiencia de aprendizaje como estudiante.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Abordar desde el análisis crítico y reflexivo las  observaciones realizadas en contacto con el campo de la práctica.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Incluir el enfoque comunitario dentro del desarrollo de intervenciones posibles, en pos del despliegue y valoración del trabajo en red como tarea psicopedagógica.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mallCaps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720458984375" w:line="240" w:lineRule="auto"/>
        <w:ind w:left="7.680015563964844" w:right="0" w:firstLine="0"/>
        <w:jc w:val="left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720458984375" w:line="240" w:lineRule="auto"/>
        <w:ind w:left="7.680015563964844" w:right="0" w:firstLine="0"/>
        <w:jc w:val="left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720458984375" w:line="240" w:lineRule="auto"/>
        <w:ind w:left="7.680015563964844" w:right="0" w:firstLine="0"/>
        <w:jc w:val="left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18798828125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518798828125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CONTENIDOS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spacing w:after="200"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UNIDAD I: NORMATIVA QUE OTORGA ENCUADRE A LA PRÁCTICA PROFESIONAL PSICOPEDAGÓGICA EN EL S.E.</w:t>
      </w:r>
    </w:p>
    <w:p w:rsidR="00000000" w:rsidDel="00000000" w:rsidP="00000000" w:rsidRDefault="00000000" w:rsidRPr="00000000" w14:paraId="00000027">
      <w:pPr>
        <w:pageBreakBefore w:val="0"/>
        <w:spacing w:after="200"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Los equipos de orientación escolar. Normativa Nacional y provincial que justifica su constitución. Modalidad de Psicología comunitaria y Pedagogía social. Organización y composición de los EOE: roles y funciones específicas del psicopedagogo. Normativa que encuadra los dispositivos de intervención según fundamentos teóricos de la PCYPS. </w:t>
      </w:r>
    </w:p>
    <w:p w:rsidR="00000000" w:rsidDel="00000000" w:rsidP="00000000" w:rsidRDefault="00000000" w:rsidRPr="00000000" w14:paraId="00000028">
      <w:pPr>
        <w:pageBreakBefore w:val="0"/>
        <w:spacing w:after="200"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UNIDAD II: INTRODUCCIÓN A LA PRÁCTICA PSICOPEDAGÓGICA  EN ÁMBITOS DEL SISTEMA EDUCATIVO.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200"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Posición y trabajo profesional de los equipos de orientación en el sistema educativo. Posición. Trama. Objetos de trabajo y cuestiones en torno a la demanda. De la demanda a la construcción de problemas en el ámbito educativo. Intervenciones institucionales entre equipos de orientación y escuelas. La dimensión institucional del objeto de análisis e intervención. Intervenciones institucionales: reuniones de equipo escolar básico, diagnóstico participativo, inclusión de la comunidad educativa, familias. Construcción de prácticas inclusivas. Los CEC: aportes para mejorar las trayectorias educativas. Articulación entre EOE de nivel inicial, primario y secundario con equipos interdisciplinarios de la Educación especial.</w:t>
      </w:r>
    </w:p>
    <w:p w:rsidR="00000000" w:rsidDel="00000000" w:rsidP="00000000" w:rsidRDefault="00000000" w:rsidRPr="00000000" w14:paraId="0000002A">
      <w:pPr>
        <w:pageBreakBefore w:val="0"/>
        <w:spacing w:after="200"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UNIDAD III: OBSERVACIÓN Y ENTREVISTA. ELABORACIÓN DE RECURSOS PARA EL ENCUENTRO CON LA PRÁCTICA</w:t>
      </w:r>
    </w:p>
    <w:p w:rsidR="00000000" w:rsidDel="00000000" w:rsidP="00000000" w:rsidRDefault="00000000" w:rsidRPr="00000000" w14:paraId="0000002B">
      <w:pPr>
        <w:pageBreakBefore w:val="0"/>
        <w:spacing w:after="200"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La observación: rol del observador, tipos de observadores y registros de observación. Técnicas de observación descriptiva y participativa. Elaboración de escenas temidas: primer acercamiento a la construcción de la identidad profesional.</w:t>
      </w:r>
    </w:p>
    <w:p w:rsidR="00000000" w:rsidDel="00000000" w:rsidP="00000000" w:rsidRDefault="00000000" w:rsidRPr="00000000" w14:paraId="0000002C">
      <w:pPr>
        <w:pageBreakBefore w:val="0"/>
        <w:spacing w:after="200"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La entrevista: su registro. Elaboración y análisis de los instrumentos de la práctica. Construcción del instrumento de observación para la realización de la práctica profesional: como proceso activo, etapas de la escucha, el encuentro con otro. Redacción de informes, consideraciones.</w:t>
      </w:r>
    </w:p>
    <w:p w:rsidR="00000000" w:rsidDel="00000000" w:rsidP="00000000" w:rsidRDefault="00000000" w:rsidRPr="00000000" w14:paraId="0000002D">
      <w:pPr>
        <w:pageBreakBefore w:val="0"/>
        <w:spacing w:after="200"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UNIDAD IV: INTRODUCCIÓN A LA PRÁCTICA PSICOPEDAGÓGICA EN ÁMBITOS DE LA MODALIDAD EN EDUCACIÓN ESPECIAL.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pageBreakBefore w:val="0"/>
        <w:spacing w:before="24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Una mirada actual sobre la discapacidad en la Argentina.</w:t>
      </w:r>
    </w:p>
    <w:p w:rsidR="00000000" w:rsidDel="00000000" w:rsidP="00000000" w:rsidRDefault="00000000" w:rsidRPr="00000000" w14:paraId="0000002F">
      <w:pPr>
        <w:pageBreakBefore w:val="0"/>
        <w:spacing w:before="24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Los Equipos Técnicos y los Equipos Transdisciplinarios en la Escuelas de Educación Especial. Normativa Nacional y Provincial que justifica su constitución y encuadra la intervención de los Equipos Transdisciplinarios. Organización y composición de los Equipos: los roles de cada integrante.</w:t>
      </w:r>
    </w:p>
    <w:p w:rsidR="00000000" w:rsidDel="00000000" w:rsidP="00000000" w:rsidRDefault="00000000" w:rsidRPr="00000000" w14:paraId="00000030">
      <w:pPr>
        <w:pageBreakBefore w:val="0"/>
        <w:spacing w:before="24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Construcción del instrumento de observación para realizar las prácticas profesionales.</w:t>
      </w:r>
    </w:p>
    <w:p w:rsidR="00000000" w:rsidDel="00000000" w:rsidP="00000000" w:rsidRDefault="00000000" w:rsidRPr="00000000" w14:paraId="00000031">
      <w:pPr>
        <w:pageBreakBefore w:val="0"/>
        <w:spacing w:before="240" w:line="240" w:lineRule="auto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Discursos y prácticas sobre la inclusión educativa: igualdad-equidad, ayudas-apoyos.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8.2611083984375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Bibliografía Obligatoria de cada unidad: </w:t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Unidad I</w:t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Ley 26.206 de Educación Nacional.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Ley 13.688 de Educación Provincial.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Ley 26601 de Protección Integral de los Derechos de Niñas, Niños y Adolescentes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Disposición N° 76/08 sobre roles del EOE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Comunicado distrital N°39. Especificaciones sobre el trabajo de los equipos de orientación escolar; 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Comunicación N°4/09.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Reconstruyendo las intervenciones de los miembros del EOE en el marco de la Psicología Comunitaria y Pedagogía Social.</w:t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3"/>
          <w:szCs w:val="23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3"/>
          <w:szCs w:val="23"/>
          <w:highlight w:val="white"/>
          <w:rtl w:val="0"/>
        </w:rPr>
        <w:t xml:space="preserve">Comunicación 5/17 "“El rol del Orientador de los Aprendizajes (OA)1 en el marco de la modalidad de Psicología comunitaria y la Pedagogía Social”.</w:t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10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5"/>
          <w:szCs w:val="25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5"/>
          <w:szCs w:val="25"/>
          <w:highlight w:val="white"/>
          <w:rtl w:val="0"/>
        </w:rPr>
        <w:t xml:space="preserve">https://continuemosestudiando.abc.gob.ar/contenido/ensenanza/narrativa-docente-miradas-que-cambian-destinos?u=5f4cfd8a76699e0a14a19cda</w:t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ind w:left="72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Unidad II</w:t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5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Greco Beatriz;  Alegre Sandra; Levaggi Gabriela.  “Los equipos de orientación en el sistema educativo. La dimensión institucional de la intervención”   Ministerio de Educación de la Nación. 1ra. Edición, 2014.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5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Comunicaciones, resoluciones y disposiciones de la Modalidad de PCYPS. Ej.: </w:t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5"/>
        </w:numPr>
        <w:ind w:left="720" w:hanging="36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Comunicación Conjunta N° 1. Puntuaciones acerca de Reuniones de Equipo Escolar Básico. DGCYE, DPCYPS, Dirección Nivel Inicial, Primario, Secundario.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5"/>
        </w:numPr>
        <w:ind w:left="720" w:hanging="36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Comunicación conjunta N° 1/10. Diagnóstico participativo. Una propuesta para el mejoramiento de las prácticas institucionales.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5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Documento de trabajo N° 5. “Enseñar en el CEC: Aportes para mejorar las trayectorias educativas”. DPCYPS.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5"/>
        </w:numPr>
        <w:ind w:left="720" w:hanging="360"/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Comunicación N° 3/11. Familias. DPCYPS.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5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Resolución del Consejo Federal de Educación No 174 /12. / ANEXO. “Pautas federales para el mejoramiento de la regulación de las trayectorias escolares en el nivel inicial, primario y modalidades”. 2012.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5"/>
        </w:numPr>
        <w:ind w:left="720" w:hanging="36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Resolución 1664/17. Construcción de prácticas inclusivas en todas las escuelas en sus niveles.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5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Comunicación 1/18: “La diversidad de las trayectorias escolares: apoyos y acompañamientos desde la enseñanza”, D PCyPS.</w:t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ind w:left="72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Unidad III</w:t>
      </w:r>
    </w:p>
    <w:p w:rsidR="00000000" w:rsidDel="00000000" w:rsidP="00000000" w:rsidRDefault="00000000" w:rsidRPr="00000000" w14:paraId="0000004A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6"/>
        </w:numPr>
        <w:ind w:left="720" w:hanging="36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Greco Beatriz; Alegre Sandra; Levaggi Gabriela. “Los equipos de orientación en el sistema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educativo. La dimensión institucional de la intervención” Ministerio de Educación de la Nación. 1ra. Edición, 2014.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6"/>
        </w:numPr>
        <w:spacing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Programa nacional aprender enseñando: Ficha 8 “Observación una herramienta de trabajo”.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6"/>
        </w:numPr>
        <w:spacing w:line="240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hyperlink r:id="rId7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sz w:val="24"/>
            <w:szCs w:val="24"/>
            <w:u w:val="single"/>
            <w:rtl w:val="0"/>
          </w:rPr>
          <w:t xml:space="preserve">https://www.youtube.com/watch?v=UBpTa9Kk2Xs</w:t>
        </w:r>
      </w:hyperlink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6"/>
        </w:numPr>
        <w:ind w:left="720" w:hanging="36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Anijovich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, R. “Transitar la formación pedagógica :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Educar la mirada para significar  la complejidad”,  Capítulo 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spacing w:after="200"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Unidad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u w:val="single"/>
          <w:rtl w:val="0"/>
        </w:rPr>
        <w:t xml:space="preserve">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1"/>
        </w:numPr>
        <w:spacing w:after="0" w:afterAutospacing="0" w:before="240" w:line="240" w:lineRule="auto"/>
        <w:ind w:left="720" w:hanging="360"/>
        <w:rPr>
          <w:rFonts w:ascii="Bookman Old Style" w:cs="Bookman Old Style" w:eastAsia="Bookman Old Style" w:hAnsi="Bookman Old Styl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Documentos de la Modalidad de Educación Especial: </w:t>
      </w:r>
      <w:hyperlink r:id="rId8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sz w:val="28"/>
            <w:szCs w:val="28"/>
            <w:u w:val="single"/>
            <w:rtl w:val="0"/>
          </w:rPr>
          <w:t xml:space="preserve">http://servicios.abc.gov.ar/lainstitucion/sistemaeducativo/educacionespecial/default.cfm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numPr>
          <w:ilvl w:val="0"/>
          <w:numId w:val="11"/>
        </w:numPr>
        <w:spacing w:after="0" w:afterAutospacing="0" w:before="0" w:beforeAutospacing="0"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Skliar, C. “L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 epistemología de la Educación Especial”. </w:t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11"/>
        </w:numPr>
        <w:spacing w:before="0" w:beforeAutospacing="0"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Skliar, C. “Discursos y prácticas sobre la deficiencia y la normalidad. Las exclusiones del lenguaje, del cuerpo y de la mente”.</w:t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720" w:right="334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Filidoro Norma, “El lugar de la escuela en la clínica”. Conferencia: 10° Aniversario de la Residencia de Psicopedagogía. CABA. (2003) </w:t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720" w:right="334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ONU "Atención primaria en salud" Informe de la conferencia Internacional, Alma-Ata. Artículo virtual. 1978.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11"/>
        </w:numPr>
        <w:spacing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</w:rPr>
      </w:pPr>
      <w:hyperlink r:id="rId9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sz w:val="24"/>
            <w:szCs w:val="24"/>
            <w:u w:val="single"/>
            <w:rtl w:val="0"/>
          </w:rPr>
          <w:t xml:space="preserve">https://www.porunaeducacioninclusiva.org/?page_id=15092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11"/>
        </w:numPr>
        <w:spacing w:after="0" w:afterAutospacing="0"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Charlas TED: 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11"/>
        </w:numPr>
        <w:spacing w:before="0" w:beforeAutospacing="0"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Silvana Corso: “Para que las Escuelas Inclusivas dejen de ser necesarias”. Charlas TEDx Río de la Plata: </w:t>
      </w:r>
      <w:hyperlink r:id="rId10">
        <w:r w:rsidDel="00000000" w:rsidR="00000000" w:rsidRPr="00000000">
          <w:rPr>
            <w:rFonts w:ascii="Bookman Old Style" w:cs="Bookman Old Style" w:eastAsia="Bookman Old Style" w:hAnsi="Bookman Old Style"/>
            <w:color w:val="1155cc"/>
            <w:sz w:val="24"/>
            <w:szCs w:val="24"/>
            <w:u w:val="single"/>
            <w:rtl w:val="0"/>
          </w:rPr>
          <w:t xml:space="preserve">https://www.youtube.com/watch?v=H9U6J0C8z88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720" w:right="334" w:hanging="360"/>
        <w:jc w:val="both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Constanza Orbaiz: “Discapacidad, poder distinto” TEDxRío de la Plata.     https://youtu.be/4NuF4HD94Qs</w:t>
      </w:r>
    </w:p>
    <w:p w:rsidR="00000000" w:rsidDel="00000000" w:rsidP="00000000" w:rsidRDefault="00000000" w:rsidRPr="00000000" w14:paraId="0000005A">
      <w:pPr>
        <w:pageBreakBefore w:val="0"/>
        <w:numPr>
          <w:ilvl w:val="0"/>
          <w:numId w:val="11"/>
        </w:numPr>
        <w:spacing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Pablo Pineda Ferrer: “El reto de aprender” at TEDxRetiro. https://www.youtube.com/watch?v=To-NFTdH2E0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1"/>
        </w:numPr>
        <w:spacing w:line="240" w:lineRule="auto"/>
        <w:ind w:left="720" w:hanging="360"/>
        <w:rPr>
          <w:rFonts w:ascii="Bookman Old Style" w:cs="Bookman Old Style" w:eastAsia="Bookman Old Style" w:hAnsi="Bookman Old Style"/>
          <w:sz w:val="24"/>
          <w:szCs w:val="24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Colorín Colorado: Experiencia alfabetización, Ed. rural. 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www.youtube.com/watch?v=q-m1BLPER30&amp;feature=youtu.be/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widowControl w:val="0"/>
        <w:spacing w:before="308.6602783203125" w:line="240" w:lineRule="auto"/>
        <w:ind w:left="7.680015563964844" w:firstLine="0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u w:val="single"/>
          <w:rtl w:val="0"/>
        </w:rPr>
        <w:t xml:space="preserve">BIBLIOGRAFÍA AMPLIATORIA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5D">
      <w:pPr>
        <w:pageBreakBefore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360" w:right="334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200"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Las profesoras considerarán y adjuntarán a la bibliografía resoluciones y comunicaciones actuales de la  DGCYE (Modalidad Psicología Comunitaria y Pedagogía Social, Especial)  según los contenidos e intereses significativos del grupo de estudiantes en contacto con el campo de la práctica.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8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Fernández, A “Un encuentro de conocimiento II: Entrevista a la Lic. Alicia Fernández”. Revista Psignos. (3 y 4 de 2001)  </w:t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8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Monereo, C (compilador) “El asesoramiento psicopedagógico: una perspectiva profesional y constructivista”. Editorial Alianza, 1999.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8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Alicia Fernández. "La inteligencia atrapada. Abordaje psicopedagógico clínico del niño y la familia". Ediciones Nueva visión, 10° ed. Buenos Aires. 1999. Cáp. 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76" w:lineRule="auto"/>
        <w:ind w:left="720" w:right="334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Filidoro, Norma. "Psicopedagogía: conceptos y problemas. La especificidad de la intervención clínica". Cáp. “La pregunta por la derivación: La posición interdiscilplinaria en la clínica psicopedagógica”. Editorial Biblios, 3° ed. Buenos Aires. 2009.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line="276" w:lineRule="auto"/>
        <w:ind w:left="0" w:firstLine="0"/>
        <w:jc w:val="both"/>
        <w:rPr>
          <w:rFonts w:ascii="Bookman Old Style" w:cs="Bookman Old Style" w:eastAsia="Bookman Old Style" w:hAnsi="Bookman Old Style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276" w:lineRule="auto"/>
        <w:ind w:lef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PRESUPUESTO DE TIEMPO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194091796875" w:line="240" w:lineRule="auto"/>
        <w:ind w:left="361.92005157470703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Desarrollo de las Unidades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194091796875" w:line="240" w:lineRule="auto"/>
        <w:ind w:left="361.92005157470703" w:right="0" w:firstLine="0"/>
        <w:jc w:val="left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553.582677165353" w:firstLine="0"/>
        <w:jc w:val="left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Primer Cuatrimestre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 unidades  1 </w:t>
      </w: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y 2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Segundo Cuatrimestre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unidades 3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y 4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9.599952697754" w:right="0" w:firstLine="0"/>
        <w:jc w:val="left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9.599952697754" w:right="0" w:firstLine="0"/>
        <w:jc w:val="left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9.599952697754" w:right="0" w:firstLine="0"/>
        <w:jc w:val="left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31982421875" w:line="240" w:lineRule="auto"/>
        <w:ind w:left="7.680015563964844" w:right="0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EVALUACIÓN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6D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El abordaje del proyecto pedagógico para su evaluación se ajusta a la normativa vigente (Res. 4043/09 y demás), Plan Institucional, Pertinencia para el Nivel y a la importancia del Contrato Pedagógico entre docente y alumnos a fin de propiciar el  logro del compromiso hacia los objetivos y criterios de evaluación.</w:t>
      </w:r>
    </w:p>
    <w:p w:rsidR="00000000" w:rsidDel="00000000" w:rsidP="00000000" w:rsidRDefault="00000000" w:rsidRPr="00000000" w14:paraId="0000006E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Como eje prioritario se piensa como un espacio que habilite el despliegue de autorías de pensamiento, desde la metacognición, definida como la capacidad de trascender y aplicar los conocimientos construidos a las futuras prácticas profesionales. Se valora la capacidad de escucha e intercambio.</w:t>
      </w:r>
    </w:p>
    <w:p w:rsidR="00000000" w:rsidDel="00000000" w:rsidP="00000000" w:rsidRDefault="00000000" w:rsidRPr="00000000" w14:paraId="0000006F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La evaluación es entendida como proceso necesario y facilitador de las propuestas de enseñanza-aprendizaje. Se realiza durante el ciclo lectivo. Se valora el desempeño académico del alumno y su mirada acerca de la práctica docente recibida. </w:t>
      </w:r>
    </w:p>
    <w:p w:rsidR="00000000" w:rsidDel="00000000" w:rsidP="00000000" w:rsidRDefault="00000000" w:rsidRPr="00000000" w14:paraId="00000070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Al finalizar la cursada se realizará una encuesta anónima que permitirá a las docentes conocer las apreciaciones de los alumnos acerca de su práctica docente.</w:t>
      </w:r>
    </w:p>
    <w:p w:rsidR="00000000" w:rsidDel="00000000" w:rsidP="00000000" w:rsidRDefault="00000000" w:rsidRPr="00000000" w14:paraId="00000071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Algunas instancias  básicas que podrían tenerse en cuenta, en esta propuesta, son: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200439453125" w:line="240" w:lineRule="auto"/>
        <w:ind w:left="348.9400100708008" w:right="0" w:firstLine="0"/>
        <w:jc w:val="left"/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drawing>
          <wp:inline distB="19050" distT="19050" distL="19050" distR="19050">
            <wp:extent cx="123825" cy="1238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Criterios de evaluación:</w:t>
      </w:r>
      <w:r w:rsidDel="00000000" w:rsidR="00000000" w:rsidRPr="00000000">
        <w:rPr>
          <w:rFonts w:ascii="Bookman Old Style" w:cs="Bookman Old Style" w:eastAsia="Bookman Old Style" w:hAnsi="Bookman Old Style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9200439453125" w:line="240" w:lineRule="auto"/>
        <w:ind w:left="348.9400100708008" w:right="0" w:firstLine="0"/>
        <w:jc w:val="left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Participar activamente y reflexivamente en los trabajos de la cátedra. </w:t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Ser capaz de transferir los aprendizajes a situaciones concretas.</w:t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Evidencia en la comprensión de los contenidos relevantes del espacio curricular.</w:t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Asistir a las visitas programadas, considerado como instancia de evaluación parcial obligatoria (modalidad presencial). </w:t>
      </w:r>
    </w:p>
    <w:p w:rsidR="00000000" w:rsidDel="00000000" w:rsidP="00000000" w:rsidRDefault="00000000" w:rsidRPr="00000000" w14:paraId="00000078">
      <w:pPr>
        <w:pageBreakBefore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Presentar en tiempo y forma los trabajos pedidos por la cátedra. </w:t>
      </w:r>
    </w:p>
    <w:p w:rsidR="00000000" w:rsidDel="00000000" w:rsidP="00000000" w:rsidRDefault="00000000" w:rsidRPr="00000000" w14:paraId="00000079">
      <w:pPr>
        <w:pageBreakBefore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Contar con el porcentaje de asistencia obligatoria. (Aclaración de cursada en modalidad virtual: Participar de las propuestas sincrónicas, referir con anticipación si existen dificultades de asistencia desde este recurso de clase).</w:t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4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Los criterios expresados serán condicionantes para la acreditación del espacio curricular.</w:t>
      </w:r>
    </w:p>
    <w:p w:rsidR="00000000" w:rsidDel="00000000" w:rsidP="00000000" w:rsidRDefault="00000000" w:rsidRPr="00000000" w14:paraId="0000007B">
      <w:pPr>
        <w:pageBreakBefore w:val="0"/>
        <w:widowControl w:val="0"/>
        <w:spacing w:before="824.9197387695312" w:line="687.7247428894043" w:lineRule="auto"/>
        <w:ind w:right="1005.4724409448835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u w:val="single"/>
          <w:rtl w:val="0"/>
        </w:rPr>
        <w:t xml:space="preserve">CONDICIONES PARA LA APROBACIÓN DE LA CURSADA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Son alumnos regulares quienes cumplan los siguientes requisitos:</w:t>
      </w:r>
    </w:p>
    <w:p w:rsidR="00000000" w:rsidDel="00000000" w:rsidP="00000000" w:rsidRDefault="00000000" w:rsidRPr="00000000" w14:paraId="0000007D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Consideración y respeto del recurso pedagógico: Contrato de prácticas.</w:t>
      </w:r>
    </w:p>
    <w:p w:rsidR="00000000" w:rsidDel="00000000" w:rsidP="00000000" w:rsidRDefault="00000000" w:rsidRPr="00000000" w14:paraId="0000007E">
      <w:pPr>
        <w:pageBreakBefore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Tener el 80% de asistencia en la materia. Aclaración desde el encuadre de cursada en modalidad virtual: La asistencia deberá mostrarse desde participación sincrónica y asincrónica de las propuestas.</w:t>
      </w:r>
    </w:p>
    <w:p w:rsidR="00000000" w:rsidDel="00000000" w:rsidP="00000000" w:rsidRDefault="00000000" w:rsidRPr="00000000" w14:paraId="0000007F">
      <w:pPr>
        <w:pageBreakBefore w:val="0"/>
        <w:numPr>
          <w:ilvl w:val="0"/>
          <w:numId w:val="9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Obtener 4 (cuatro) puntos como mínimo en las calificaciones obtenidas.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numPr>
          <w:ilvl w:val="0"/>
          <w:numId w:val="9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En cada cuatrimestre el alumno deberá tener dos correcciones: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9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Se presentarán 4 (cuatro) Trabajos Prácticos a realizar, 2 (dos) por cuatrimestre.</w:t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9"/>
        </w:numPr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La resolución de los trabajos se espera se elaboren en pareja educativa, individual y grupalmente, según la propuesta de actividad.</w:t>
      </w:r>
    </w:p>
    <w:p w:rsidR="00000000" w:rsidDel="00000000" w:rsidP="00000000" w:rsidRDefault="00000000" w:rsidRPr="00000000" w14:paraId="00000083">
      <w:pPr>
        <w:pageBreakBefore w:val="0"/>
        <w:spacing w:line="276" w:lineRule="auto"/>
        <w:ind w:lef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line="276" w:lineRule="auto"/>
        <w:ind w:left="0" w:firstLine="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line="276" w:lineRule="auto"/>
        <w:jc w:val="both"/>
        <w:rPr>
          <w:rFonts w:ascii="Bookman Old Style" w:cs="Bookman Old Style" w:eastAsia="Bookman Old Style" w:hAnsi="Bookman Old Style"/>
          <w:b w:val="1"/>
          <w:sz w:val="24"/>
          <w:szCs w:val="24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u w:val="single"/>
          <w:rtl w:val="0"/>
        </w:rPr>
        <w:t xml:space="preserve">Orientaciones para el contrato de entrega de trabajos prácticos:</w:t>
      </w:r>
    </w:p>
    <w:p w:rsidR="00000000" w:rsidDel="00000000" w:rsidP="00000000" w:rsidRDefault="00000000" w:rsidRPr="00000000" w14:paraId="00000086">
      <w:pPr>
        <w:pageBreakBefore w:val="0"/>
        <w:numPr>
          <w:ilvl w:val="0"/>
          <w:numId w:val="3"/>
        </w:numPr>
        <w:tabs>
          <w:tab w:val="left" w:pos="360"/>
        </w:tabs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Puntualidad y asistencia en el día de la fecha de entrega. Presentación de certificado médico o laboral en caso de no asistir  entrega vía e-mail en la fecha acordada, luego de la entrega en papel a la siguiente clase.</w:t>
      </w:r>
    </w:p>
    <w:p w:rsidR="00000000" w:rsidDel="00000000" w:rsidP="00000000" w:rsidRDefault="00000000" w:rsidRPr="00000000" w14:paraId="00000087">
      <w:pPr>
        <w:pageBreakBefore w:val="0"/>
        <w:numPr>
          <w:ilvl w:val="0"/>
          <w:numId w:val="3"/>
        </w:numPr>
        <w:tabs>
          <w:tab w:val="left" w:pos="360"/>
        </w:tabs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Respeto hacia los requisitos de presentación escrita expresados con anticipación con la profesora.</w:t>
      </w:r>
    </w:p>
    <w:p w:rsidR="00000000" w:rsidDel="00000000" w:rsidP="00000000" w:rsidRDefault="00000000" w:rsidRPr="00000000" w14:paraId="00000088">
      <w:pPr>
        <w:pageBreakBefore w:val="0"/>
        <w:numPr>
          <w:ilvl w:val="0"/>
          <w:numId w:val="3"/>
        </w:numPr>
        <w:tabs>
          <w:tab w:val="left" w:pos="360"/>
        </w:tabs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Redacción y lenguaje adecuado según el vocabulario académico de la asignatura y el rol por el cual se están formando los estudiantes.</w:t>
      </w:r>
    </w:p>
    <w:p w:rsidR="00000000" w:rsidDel="00000000" w:rsidP="00000000" w:rsidRDefault="00000000" w:rsidRPr="00000000" w14:paraId="00000089">
      <w:pPr>
        <w:pageBreakBefore w:val="0"/>
        <w:numPr>
          <w:ilvl w:val="0"/>
          <w:numId w:val="3"/>
        </w:numPr>
        <w:tabs>
          <w:tab w:val="left" w:pos="360"/>
        </w:tabs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Desarrollo adecuado de los contenidos trabajados, como así también, capacidad de análisis y argumentos teóricos para la fundamentación.</w:t>
      </w:r>
    </w:p>
    <w:p w:rsidR="00000000" w:rsidDel="00000000" w:rsidP="00000000" w:rsidRDefault="00000000" w:rsidRPr="00000000" w14:paraId="0000008A">
      <w:pPr>
        <w:pageBreakBefore w:val="0"/>
        <w:numPr>
          <w:ilvl w:val="0"/>
          <w:numId w:val="3"/>
        </w:numPr>
        <w:tabs>
          <w:tab w:val="left" w:pos="360"/>
        </w:tabs>
        <w:spacing w:line="276" w:lineRule="auto"/>
        <w:ind w:left="720" w:hanging="360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Detalle de la bibliografía utilizada.</w:t>
      </w:r>
    </w:p>
    <w:p w:rsidR="00000000" w:rsidDel="00000000" w:rsidP="00000000" w:rsidRDefault="00000000" w:rsidRPr="00000000" w14:paraId="0000008B">
      <w:pPr>
        <w:pageBreakBefore w:val="0"/>
        <w:tabs>
          <w:tab w:val="left" w:pos="360"/>
        </w:tabs>
        <w:spacing w:line="276" w:lineRule="auto"/>
        <w:jc w:val="both"/>
        <w:rPr>
          <w:rFonts w:ascii="Bookman Old Style" w:cs="Bookman Old Style" w:eastAsia="Bookman Old Style" w:hAnsi="Bookman Old Sty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tabs>
          <w:tab w:val="left" w:pos="360"/>
        </w:tabs>
        <w:spacing w:line="276" w:lineRule="auto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4"/>
          <w:szCs w:val="24"/>
          <w:rtl w:val="0"/>
        </w:rPr>
        <w:t xml:space="preserve">De igual modo las docentes se implicarán con respecto a sus responsabilidades académicas a:</w:t>
      </w:r>
    </w:p>
    <w:p w:rsidR="00000000" w:rsidDel="00000000" w:rsidP="00000000" w:rsidRDefault="00000000" w:rsidRPr="00000000" w14:paraId="0000008D">
      <w:pPr>
        <w:pageBreakBefore w:val="0"/>
        <w:numPr>
          <w:ilvl w:val="0"/>
          <w:numId w:val="7"/>
        </w:numPr>
        <w:tabs>
          <w:tab w:val="left" w:pos="360"/>
        </w:tabs>
        <w:spacing w:line="276" w:lineRule="auto"/>
        <w:ind w:left="108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Acompañar a las/os estudiantes durante sus prácticas;</w:t>
      </w:r>
    </w:p>
    <w:p w:rsidR="00000000" w:rsidDel="00000000" w:rsidP="00000000" w:rsidRDefault="00000000" w:rsidRPr="00000000" w14:paraId="0000008E">
      <w:pPr>
        <w:pageBreakBefore w:val="0"/>
        <w:numPr>
          <w:ilvl w:val="0"/>
          <w:numId w:val="7"/>
        </w:numPr>
        <w:tabs>
          <w:tab w:val="left" w:pos="360"/>
        </w:tabs>
        <w:spacing w:line="276" w:lineRule="auto"/>
        <w:ind w:left="108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Entregar la corrección de los informes en los tiempos pautados;</w:t>
      </w:r>
    </w:p>
    <w:p w:rsidR="00000000" w:rsidDel="00000000" w:rsidP="00000000" w:rsidRDefault="00000000" w:rsidRPr="00000000" w14:paraId="0000008F">
      <w:pPr>
        <w:pageBreakBefore w:val="0"/>
        <w:numPr>
          <w:ilvl w:val="0"/>
          <w:numId w:val="7"/>
        </w:numPr>
        <w:tabs>
          <w:tab w:val="left" w:pos="360"/>
        </w:tabs>
        <w:spacing w:line="276" w:lineRule="auto"/>
        <w:ind w:left="1080" w:hanging="360"/>
        <w:jc w:val="both"/>
        <w:rPr>
          <w:rFonts w:ascii="Bookman Old Style" w:cs="Bookman Old Style" w:eastAsia="Bookman Old Style" w:hAnsi="Bookman Old Style"/>
          <w:b w:val="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Cumplir con la puntualidad y los materiales de trabajo.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9197387695312" w:line="687.7247428894043" w:lineRule="auto"/>
        <w:ind w:left="0" w:right="1714.1338582677172" w:firstLine="0"/>
        <w:jc w:val="left"/>
        <w:rPr>
          <w:rFonts w:ascii="Bookman Old Style" w:cs="Bookman Old Style" w:eastAsia="Bookman Old Style" w:hAnsi="Bookman Old Style"/>
          <w:b w:val="1"/>
          <w:sz w:val="26"/>
          <w:szCs w:val="26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CONDICIONES PARA LA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u w:val="single"/>
          <w:rtl w:val="0"/>
        </w:rPr>
        <w:t xml:space="preserve">ACREDITACIÓN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DE LA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9197387695312" w:line="687.7247428894043" w:lineRule="auto"/>
        <w:ind w:left="0" w:right="1714.1338582677172" w:firstLine="0"/>
        <w:jc w:val="left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Aprobar la cursada y posterior  inscripción a la instancia final.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4.9197387695312" w:line="687.7247428894043" w:lineRule="auto"/>
        <w:ind w:left="720" w:right="722.0078740157493" w:firstLine="0"/>
        <w:jc w:val="left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PLAN AUTORIZADO POR RESOLUCION N°: 13259/99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7800598144531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VIGENCIA AÑO/S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 2020/2021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7800598144531" w:line="240" w:lineRule="auto"/>
        <w:ind w:left="0" w:righ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widowControl w:val="0"/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305" w:top="690.599365234375" w:left="576.0599899291992" w:right="561.6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Courier New"/>
  <w:font w:name="Bookman Old Style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7"/>
      <w:numFmt w:val="bullet"/>
      <w:lvlText w:val="❖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bullet"/>
      <w:lvlText w:val="➢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◆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➢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◆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7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7"/>
      <w:numFmt w:val="bullet"/>
      <w:lvlText w:val="-"/>
      <w:lvlJc w:val="left"/>
      <w:pPr>
        <w:ind w:left="1080" w:hanging="360"/>
      </w:pPr>
      <w:rPr>
        <w:rFonts w:ascii="Arial" w:cs="Arial" w:eastAsia="Arial" w:hAnsi="Arial"/>
        <w:b w:val="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7"/>
      <w:numFmt w:val="bullet"/>
      <w:lvlText w:val="-"/>
      <w:lvlJc w:val="left"/>
      <w:pPr>
        <w:ind w:left="720" w:hanging="360"/>
      </w:pPr>
      <w:rPr>
        <w:rFonts w:ascii="Arial" w:cs="Arial" w:eastAsia="Arial" w:hAnsi="Arial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www.youtube.com/watch?v=H9U6J0C8z88" TargetMode="External"/><Relationship Id="rId9" Type="http://schemas.openxmlformats.org/officeDocument/2006/relationships/hyperlink" Target="https://www.porunaeducacioninclusiva.org/?page_id=15092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youtube.com/watch?v=UBpTa9Kk2Xs" TargetMode="External"/><Relationship Id="rId8" Type="http://schemas.openxmlformats.org/officeDocument/2006/relationships/hyperlink" Target="http://servicios.abc.gov.ar/lainstitucion/sistemaeducativo/educacionespecial/default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